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CAC9" w14:textId="77777777" w:rsidR="00DC7DAA" w:rsidRPr="0080008A" w:rsidRDefault="00DC7DAA" w:rsidP="00015284">
      <w:pPr>
        <w:pStyle w:val="Default"/>
        <w:rPr>
          <w:color w:val="auto"/>
        </w:rPr>
      </w:pPr>
    </w:p>
    <w:p w14:paraId="125640A3" w14:textId="77777777" w:rsidR="00EF546C" w:rsidRPr="0080008A" w:rsidRDefault="00EF546C" w:rsidP="00015284">
      <w:pPr>
        <w:pStyle w:val="Default"/>
        <w:rPr>
          <w:b/>
          <w:color w:val="auto"/>
          <w:sz w:val="36"/>
          <w:szCs w:val="32"/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97"/>
        <w:gridCol w:w="1303"/>
        <w:gridCol w:w="7318"/>
      </w:tblGrid>
      <w:tr w:rsidR="0080008A" w:rsidRPr="0080008A" w14:paraId="4E9589E0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11FA68DC" w14:textId="77777777" w:rsidR="00B959E4" w:rsidRPr="0080008A" w:rsidRDefault="00B959E4" w:rsidP="00015284">
            <w:pPr>
              <w:pStyle w:val="Default"/>
              <w:rPr>
                <w:b/>
                <w:color w:val="auto"/>
                <w:sz w:val="36"/>
              </w:rPr>
            </w:pPr>
            <w:r w:rsidRPr="0080008A">
              <w:rPr>
                <w:b/>
                <w:color w:val="auto"/>
                <w:sz w:val="36"/>
              </w:rPr>
              <w:t>Crayfish population assessment form</w:t>
            </w:r>
          </w:p>
        </w:tc>
      </w:tr>
      <w:tr w:rsidR="0080008A" w:rsidRPr="0080008A" w14:paraId="30FC8D29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59D73AED" w14:textId="77777777" w:rsidR="001334EA" w:rsidRPr="0080008A" w:rsidRDefault="00AC230B" w:rsidP="00015284">
            <w:pPr>
              <w:pStyle w:val="Default"/>
              <w:rPr>
                <w:b/>
                <w:color w:val="auto"/>
                <w:sz w:val="36"/>
              </w:rPr>
            </w:pPr>
            <w:r w:rsidRPr="0080008A">
              <w:rPr>
                <w:b/>
                <w:color w:val="auto"/>
                <w:sz w:val="36"/>
              </w:rPr>
              <w:t xml:space="preserve">A: </w:t>
            </w:r>
            <w:r w:rsidR="00785109" w:rsidRPr="0080008A">
              <w:rPr>
                <w:b/>
                <w:color w:val="auto"/>
                <w:sz w:val="36"/>
              </w:rPr>
              <w:t>Site information</w:t>
            </w:r>
          </w:p>
        </w:tc>
      </w:tr>
      <w:tr w:rsidR="0080008A" w:rsidRPr="0080008A" w14:paraId="6A2DC3B4" w14:textId="77777777" w:rsidTr="0080008A">
        <w:trPr>
          <w:trHeight w:val="290"/>
        </w:trPr>
        <w:tc>
          <w:tcPr>
            <w:tcW w:w="1297" w:type="dxa"/>
            <w:shd w:val="clear" w:color="auto" w:fill="B6DDE8" w:themeFill="accent5" w:themeFillTint="66"/>
          </w:tcPr>
          <w:p w14:paraId="63C0296C" w14:textId="77777777" w:rsidR="00A12B77" w:rsidRPr="0080008A" w:rsidRDefault="00A12B77" w:rsidP="00015284">
            <w:pPr>
              <w:pStyle w:val="Default"/>
              <w:rPr>
                <w:color w:val="auto"/>
              </w:rPr>
            </w:pPr>
            <w:r w:rsidRPr="0080008A">
              <w:rPr>
                <w:b/>
                <w:color w:val="auto"/>
              </w:rPr>
              <w:t>Site name:</w:t>
            </w:r>
          </w:p>
        </w:tc>
        <w:tc>
          <w:tcPr>
            <w:tcW w:w="8621" w:type="dxa"/>
            <w:gridSpan w:val="2"/>
          </w:tcPr>
          <w:p w14:paraId="5E01F1AB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0BA11A5F" w14:textId="77777777" w:rsidR="00A12B77" w:rsidRPr="0080008A" w:rsidRDefault="00A12B77" w:rsidP="00015284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Insert common name for site</w:t>
            </w:r>
          </w:p>
          <w:p w14:paraId="79F61A7F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3E7D5B8B" w14:textId="62372E3F" w:rsidR="00764177" w:rsidRPr="0080008A" w:rsidRDefault="00764177" w:rsidP="00015284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311A3A37" w14:textId="77777777" w:rsidTr="0080008A">
        <w:trPr>
          <w:trHeight w:val="1768"/>
        </w:trPr>
        <w:tc>
          <w:tcPr>
            <w:tcW w:w="2600" w:type="dxa"/>
            <w:gridSpan w:val="2"/>
            <w:shd w:val="clear" w:color="auto" w:fill="B6DDE8" w:themeFill="accent5" w:themeFillTint="66"/>
          </w:tcPr>
          <w:p w14:paraId="0983EBDE" w14:textId="77777777" w:rsidR="00764177" w:rsidRPr="0080008A" w:rsidRDefault="00764177" w:rsidP="00015284">
            <w:pPr>
              <w:pStyle w:val="Default"/>
              <w:rPr>
                <w:b/>
                <w:color w:val="auto"/>
              </w:rPr>
            </w:pPr>
          </w:p>
          <w:p w14:paraId="78B9B2EB" w14:textId="72ED0273" w:rsidR="00D328E7" w:rsidRPr="0080008A" w:rsidRDefault="00D328E7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Status of this site</w:t>
            </w:r>
          </w:p>
          <w:p w14:paraId="0711DC1C" w14:textId="77777777" w:rsidR="00D328E7" w:rsidRPr="0080008A" w:rsidRDefault="00D328E7" w:rsidP="00015284">
            <w:pPr>
              <w:pStyle w:val="Default"/>
              <w:rPr>
                <w:b/>
                <w:color w:val="auto"/>
              </w:rPr>
            </w:pPr>
          </w:p>
          <w:p w14:paraId="5335BFAA" w14:textId="77777777" w:rsidR="00D328E7" w:rsidRPr="0080008A" w:rsidRDefault="00D328E7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Mark all appropriate</w:t>
            </w:r>
          </w:p>
        </w:tc>
        <w:tc>
          <w:tcPr>
            <w:tcW w:w="7318" w:type="dxa"/>
            <w:shd w:val="clear" w:color="auto" w:fill="B6DDE8" w:themeFill="accent5" w:themeFillTint="66"/>
          </w:tcPr>
          <w:p w14:paraId="10BA0D04" w14:textId="77777777" w:rsidR="0080008A" w:rsidRDefault="0080008A" w:rsidP="00D328E7">
            <w:pPr>
              <w:pStyle w:val="Default"/>
              <w:rPr>
                <w:color w:val="auto"/>
              </w:rPr>
            </w:pPr>
          </w:p>
          <w:p w14:paraId="43168ACD" w14:textId="1F1200EB" w:rsidR="00764177" w:rsidRPr="0080008A" w:rsidRDefault="001B79B9" w:rsidP="00D328E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4771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08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328E7" w:rsidRPr="0080008A">
              <w:rPr>
                <w:color w:val="auto"/>
              </w:rPr>
              <w:t xml:space="preserve"> Existing population</w:t>
            </w:r>
          </w:p>
          <w:p w14:paraId="2DB47074" w14:textId="77777777" w:rsidR="00D328E7" w:rsidRPr="0080008A" w:rsidRDefault="001B79B9" w:rsidP="00D328E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15940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E7" w:rsidRPr="0080008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328E7" w:rsidRPr="0080008A">
              <w:rPr>
                <w:color w:val="auto"/>
              </w:rPr>
              <w:t xml:space="preserve"> Existing population to be supplemented</w:t>
            </w:r>
          </w:p>
          <w:p w14:paraId="7E4AD32D" w14:textId="77777777" w:rsidR="00D328E7" w:rsidRPr="0080008A" w:rsidRDefault="001B79B9" w:rsidP="00D328E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3740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E7" w:rsidRPr="0080008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328E7" w:rsidRPr="0080008A">
              <w:rPr>
                <w:color w:val="auto"/>
              </w:rPr>
              <w:t xml:space="preserve"> Potential ark site</w:t>
            </w:r>
          </w:p>
          <w:p w14:paraId="179458AA" w14:textId="77777777" w:rsidR="00D328E7" w:rsidRPr="0080008A" w:rsidRDefault="001B79B9" w:rsidP="00D328E7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163807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8E7" w:rsidRPr="0080008A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328E7" w:rsidRPr="0080008A">
              <w:rPr>
                <w:color w:val="auto"/>
              </w:rPr>
              <w:t xml:space="preserve"> Potential donor site</w:t>
            </w:r>
          </w:p>
        </w:tc>
      </w:tr>
      <w:tr w:rsidR="0080008A" w:rsidRPr="0080008A" w14:paraId="7C7F9659" w14:textId="77777777" w:rsidTr="0080008A">
        <w:trPr>
          <w:trHeight w:val="195"/>
        </w:trPr>
        <w:tc>
          <w:tcPr>
            <w:tcW w:w="2600" w:type="dxa"/>
            <w:gridSpan w:val="2"/>
            <w:shd w:val="clear" w:color="auto" w:fill="B6DDE8" w:themeFill="accent5" w:themeFillTint="66"/>
          </w:tcPr>
          <w:p w14:paraId="56381C42" w14:textId="77777777" w:rsidR="00A12B77" w:rsidRPr="0080008A" w:rsidRDefault="00017165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U</w:t>
            </w:r>
            <w:r w:rsidR="00A12B77" w:rsidRPr="0080008A">
              <w:rPr>
                <w:b/>
                <w:color w:val="auto"/>
              </w:rPr>
              <w:t xml:space="preserve">pstream population extent NGR </w:t>
            </w:r>
          </w:p>
        </w:tc>
        <w:tc>
          <w:tcPr>
            <w:tcW w:w="7318" w:type="dxa"/>
          </w:tcPr>
          <w:p w14:paraId="41A0E65E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54B28E8C" w14:textId="77777777" w:rsidR="00A12B77" w:rsidRPr="0080008A" w:rsidRDefault="00A12B77" w:rsidP="00015284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Twelve figure grid reference</w:t>
            </w:r>
            <w:r w:rsidR="004E1BBB" w:rsidRPr="0080008A">
              <w:rPr>
                <w:color w:val="auto"/>
              </w:rPr>
              <w:t xml:space="preserve"> – </w:t>
            </w:r>
            <w:r w:rsidR="00B959E4" w:rsidRPr="0080008A">
              <w:rPr>
                <w:color w:val="auto"/>
              </w:rPr>
              <w:t>Current</w:t>
            </w:r>
            <w:r w:rsidR="004E1BBB" w:rsidRPr="0080008A">
              <w:rPr>
                <w:color w:val="auto"/>
              </w:rPr>
              <w:t xml:space="preserve"> or potential</w:t>
            </w:r>
          </w:p>
          <w:p w14:paraId="61136800" w14:textId="77777777" w:rsidR="009D2ADD" w:rsidRPr="0080008A" w:rsidRDefault="009D2ADD" w:rsidP="00015284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XX 00000 00000</w:t>
            </w:r>
          </w:p>
          <w:p w14:paraId="4089AB5B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35729647" w14:textId="77777777" w:rsidTr="0080008A">
        <w:trPr>
          <w:trHeight w:val="323"/>
        </w:trPr>
        <w:tc>
          <w:tcPr>
            <w:tcW w:w="2600" w:type="dxa"/>
            <w:gridSpan w:val="2"/>
            <w:shd w:val="clear" w:color="auto" w:fill="B6DDE8" w:themeFill="accent5" w:themeFillTint="66"/>
          </w:tcPr>
          <w:p w14:paraId="45B7E1CC" w14:textId="77777777" w:rsidR="00A12B77" w:rsidRPr="0080008A" w:rsidRDefault="00017165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D</w:t>
            </w:r>
            <w:r w:rsidR="00040197" w:rsidRPr="0080008A">
              <w:rPr>
                <w:b/>
                <w:color w:val="auto"/>
              </w:rPr>
              <w:t>own</w:t>
            </w:r>
            <w:r w:rsidR="00A12B77" w:rsidRPr="0080008A">
              <w:rPr>
                <w:b/>
                <w:color w:val="auto"/>
              </w:rPr>
              <w:t xml:space="preserve">stream population extent NGR </w:t>
            </w:r>
          </w:p>
        </w:tc>
        <w:tc>
          <w:tcPr>
            <w:tcW w:w="7318" w:type="dxa"/>
          </w:tcPr>
          <w:p w14:paraId="3A5E268D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48F9C816" w14:textId="77777777" w:rsidR="009D2ADD" w:rsidRPr="0080008A" w:rsidRDefault="00A12B77" w:rsidP="00015284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Twelve figure grid reference</w:t>
            </w:r>
            <w:r w:rsidR="009D2ADD" w:rsidRPr="0080008A">
              <w:rPr>
                <w:color w:val="auto"/>
              </w:rPr>
              <w:t xml:space="preserve"> </w:t>
            </w:r>
            <w:r w:rsidR="004E1BBB" w:rsidRPr="0080008A">
              <w:rPr>
                <w:color w:val="auto"/>
              </w:rPr>
              <w:t>– Actual or potential</w:t>
            </w:r>
          </w:p>
          <w:p w14:paraId="317DDE2B" w14:textId="77777777" w:rsidR="00A12B77" w:rsidRPr="0080008A" w:rsidRDefault="009D2ADD" w:rsidP="00015284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XX 00000 00000</w:t>
            </w:r>
          </w:p>
          <w:p w14:paraId="44C0D9DC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2EA00C1E" w14:textId="77777777" w:rsidTr="0080008A">
        <w:trPr>
          <w:trHeight w:val="344"/>
        </w:trPr>
        <w:tc>
          <w:tcPr>
            <w:tcW w:w="2600" w:type="dxa"/>
            <w:gridSpan w:val="2"/>
            <w:shd w:val="clear" w:color="auto" w:fill="B6DDE8" w:themeFill="accent5" w:themeFillTint="66"/>
          </w:tcPr>
          <w:p w14:paraId="07FBF4F8" w14:textId="77777777" w:rsidR="00C4748D" w:rsidRPr="0080008A" w:rsidRDefault="00C4748D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WFD waterbody ID (if applicable)</w:t>
            </w:r>
          </w:p>
        </w:tc>
        <w:tc>
          <w:tcPr>
            <w:tcW w:w="7318" w:type="dxa"/>
          </w:tcPr>
          <w:p w14:paraId="67F17308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1C83C466" w14:textId="77777777" w:rsidR="009D570D" w:rsidRDefault="00764177" w:rsidP="00015284">
            <w:pPr>
              <w:pStyle w:val="Default"/>
              <w:rPr>
                <w:color w:val="auto"/>
              </w:rPr>
            </w:pPr>
            <w:proofErr w:type="spellStart"/>
            <w:r w:rsidRPr="0080008A">
              <w:rPr>
                <w:color w:val="auto"/>
              </w:rPr>
              <w:t>GBxxxxxxxxxxxxxx</w:t>
            </w:r>
            <w:proofErr w:type="spellEnd"/>
            <w:r w:rsidRPr="0080008A">
              <w:rPr>
                <w:color w:val="auto"/>
              </w:rPr>
              <w:t xml:space="preserve"> – WFD waterbody ID available from Catchment Data Explorer</w:t>
            </w:r>
          </w:p>
          <w:p w14:paraId="33ADD3B8" w14:textId="4C921D88" w:rsidR="0080008A" w:rsidRPr="0080008A" w:rsidRDefault="0080008A" w:rsidP="00015284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38D56D52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4CFD9F4F" w14:textId="77777777" w:rsidR="00A12B77" w:rsidRPr="0080008A" w:rsidRDefault="00A12B77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Map</w:t>
            </w:r>
          </w:p>
        </w:tc>
      </w:tr>
      <w:tr w:rsidR="0080008A" w:rsidRPr="0080008A" w14:paraId="68341479" w14:textId="77777777" w:rsidTr="0080008A">
        <w:trPr>
          <w:trHeight w:val="290"/>
        </w:trPr>
        <w:tc>
          <w:tcPr>
            <w:tcW w:w="9918" w:type="dxa"/>
            <w:gridSpan w:val="3"/>
          </w:tcPr>
          <w:p w14:paraId="6ECFB189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505DFFB5" w14:textId="2512F006" w:rsidR="009D570D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Insert annotated map of records and showing location of features of interest. Include historical maps if relevant. Ensure all</w:t>
            </w:r>
            <w:r w:rsidR="0080008A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>maps are described, scaled, orientated using a north arrow and dated.</w:t>
            </w:r>
          </w:p>
          <w:p w14:paraId="559C4C9D" w14:textId="4AE50E2F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7A13A656" w14:textId="77777777" w:rsidTr="0080008A">
        <w:trPr>
          <w:trHeight w:val="344"/>
        </w:trPr>
        <w:tc>
          <w:tcPr>
            <w:tcW w:w="2600" w:type="dxa"/>
            <w:gridSpan w:val="2"/>
            <w:shd w:val="clear" w:color="auto" w:fill="B6DDE8" w:themeFill="accent5" w:themeFillTint="66"/>
          </w:tcPr>
          <w:p w14:paraId="3102664F" w14:textId="77777777" w:rsidR="009D2ADD" w:rsidRPr="0080008A" w:rsidRDefault="009D2ADD" w:rsidP="00B959E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Last survey date, type</w:t>
            </w:r>
            <w:r w:rsidR="00B959E4" w:rsidRPr="0080008A">
              <w:rPr>
                <w:b/>
                <w:color w:val="auto"/>
              </w:rPr>
              <w:t xml:space="preserve">, </w:t>
            </w:r>
            <w:proofErr w:type="gramStart"/>
            <w:r w:rsidRPr="0080008A">
              <w:rPr>
                <w:b/>
                <w:color w:val="auto"/>
              </w:rPr>
              <w:t>extent</w:t>
            </w:r>
            <w:proofErr w:type="gramEnd"/>
            <w:r w:rsidR="00B959E4" w:rsidRPr="0080008A">
              <w:rPr>
                <w:b/>
                <w:color w:val="auto"/>
              </w:rPr>
              <w:t xml:space="preserve"> and findings</w:t>
            </w:r>
          </w:p>
        </w:tc>
        <w:tc>
          <w:tcPr>
            <w:tcW w:w="7318" w:type="dxa"/>
          </w:tcPr>
          <w:p w14:paraId="12F91B1A" w14:textId="77777777" w:rsidR="00162D68" w:rsidRDefault="00162D68" w:rsidP="00764177">
            <w:pPr>
              <w:pStyle w:val="Default"/>
              <w:rPr>
                <w:color w:val="auto"/>
              </w:rPr>
            </w:pPr>
          </w:p>
          <w:p w14:paraId="2F1820E7" w14:textId="7EB2231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Date and survey type</w:t>
            </w:r>
          </w:p>
          <w:p w14:paraId="4BB30134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DD/MM/YYYY – Stone turning, Artificial refuge traps, torching</w:t>
            </w:r>
          </w:p>
          <w:p w14:paraId="2D420614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Detail findings of survey</w:t>
            </w:r>
          </w:p>
          <w:p w14:paraId="58EFED1A" w14:textId="02BDFC21" w:rsidR="00764177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Provide reference to survey report</w:t>
            </w:r>
          </w:p>
          <w:p w14:paraId="4D7E3B34" w14:textId="77777777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  <w:p w14:paraId="4C020BB3" w14:textId="658613C7" w:rsidR="00B959E4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 4.1 – Desktop study assessment.Records must be validated using the process described in this section.</w:t>
            </w:r>
          </w:p>
          <w:p w14:paraId="694AEA84" w14:textId="3F3AC0C5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7FFC168A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5EE13005" w14:textId="77777777" w:rsidR="00391793" w:rsidRPr="0080008A" w:rsidRDefault="009D2ADD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Brief</w:t>
            </w:r>
            <w:r w:rsidR="00007587" w:rsidRPr="0080008A">
              <w:rPr>
                <w:b/>
                <w:color w:val="auto"/>
              </w:rPr>
              <w:t xml:space="preserve"> description of survey history</w:t>
            </w:r>
          </w:p>
        </w:tc>
      </w:tr>
      <w:tr w:rsidR="0080008A" w:rsidRPr="0080008A" w14:paraId="77A4D3A9" w14:textId="77777777" w:rsidTr="0080008A">
        <w:trPr>
          <w:trHeight w:val="290"/>
        </w:trPr>
        <w:tc>
          <w:tcPr>
            <w:tcW w:w="9918" w:type="dxa"/>
            <w:gridSpan w:val="3"/>
          </w:tcPr>
          <w:p w14:paraId="58C5ABFE" w14:textId="77777777" w:rsidR="00162D68" w:rsidRDefault="00162D68" w:rsidP="00764177">
            <w:pPr>
              <w:pStyle w:val="Default"/>
              <w:rPr>
                <w:color w:val="auto"/>
              </w:rPr>
            </w:pPr>
          </w:p>
          <w:p w14:paraId="4B7483F8" w14:textId="4FF78F9E" w:rsidR="00162D68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List historical surveys undertaken at the site</w:t>
            </w:r>
          </w:p>
          <w:p w14:paraId="0FF8AE4E" w14:textId="77777777" w:rsidR="00162D68" w:rsidRDefault="00162D68" w:rsidP="00764177">
            <w:pPr>
              <w:pStyle w:val="Default"/>
              <w:rPr>
                <w:color w:val="auto"/>
              </w:rPr>
            </w:pPr>
          </w:p>
          <w:p w14:paraId="094AB164" w14:textId="09D200E4" w:rsidR="00162D68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E.g.</w:t>
            </w:r>
            <w:r w:rsidR="00162D68">
              <w:rPr>
                <w:color w:val="auto"/>
              </w:rPr>
              <w:t xml:space="preserve"> </w:t>
            </w:r>
          </w:p>
          <w:p w14:paraId="5878CFFE" w14:textId="77777777" w:rsidR="00162D68" w:rsidRDefault="00162D68" w:rsidP="00764177">
            <w:pPr>
              <w:pStyle w:val="Default"/>
              <w:rPr>
                <w:color w:val="auto"/>
              </w:rPr>
            </w:pPr>
          </w:p>
          <w:p w14:paraId="4DE6E2CF" w14:textId="1183F16B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2009</w:t>
            </w:r>
          </w:p>
          <w:p w14:paraId="3370BB25" w14:textId="515FDBF5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 xml:space="preserve">Stone turning from NGR x to NGR y undertaken by </w:t>
            </w:r>
            <w:proofErr w:type="spellStart"/>
            <w:proofErr w:type="gramStart"/>
            <w:r w:rsidRPr="0080008A">
              <w:rPr>
                <w:color w:val="auto"/>
              </w:rPr>
              <w:t>A.Nonymous</w:t>
            </w:r>
            <w:proofErr w:type="spellEnd"/>
            <w:proofErr w:type="gramEnd"/>
            <w:r w:rsidR="00162D68">
              <w:rPr>
                <w:color w:val="auto"/>
              </w:rPr>
              <w:t>, p</w:t>
            </w:r>
            <w:r w:rsidRPr="0080008A">
              <w:rPr>
                <w:color w:val="auto"/>
              </w:rPr>
              <w:t>ositive presence</w:t>
            </w:r>
            <w:r w:rsidR="00162D68">
              <w:rPr>
                <w:color w:val="auto"/>
              </w:rPr>
              <w:t xml:space="preserve">, </w:t>
            </w:r>
            <w:r w:rsidRPr="0080008A">
              <w:rPr>
                <w:color w:val="auto"/>
              </w:rPr>
              <w:t>120 male, 20 female, 10 &lt;10mm</w:t>
            </w:r>
          </w:p>
          <w:p w14:paraId="06C84539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Records available on MAGIC or LERC</w:t>
            </w:r>
          </w:p>
          <w:p w14:paraId="4C1459D2" w14:textId="12C85144" w:rsidR="00764177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Detailed survey report located here (insert hyperlink to folder location)</w:t>
            </w:r>
          </w:p>
          <w:p w14:paraId="29E25E98" w14:textId="77777777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  <w:p w14:paraId="43C6BD62" w14:textId="690CB4CA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2012</w:t>
            </w:r>
          </w:p>
          <w:p w14:paraId="3A5C2840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 xml:space="preserve">Torch survey from NGR x to NGR y related to training event led by </w:t>
            </w:r>
            <w:proofErr w:type="spellStart"/>
            <w:proofErr w:type="gramStart"/>
            <w:r w:rsidRPr="0080008A">
              <w:rPr>
                <w:color w:val="auto"/>
              </w:rPr>
              <w:t>S.Omeone</w:t>
            </w:r>
            <w:proofErr w:type="spellEnd"/>
            <w:proofErr w:type="gramEnd"/>
          </w:p>
          <w:p w14:paraId="7C80FC4F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Positive presence</w:t>
            </w:r>
          </w:p>
          <w:p w14:paraId="7B5C5377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Records not available on MAGIC or LERC</w:t>
            </w:r>
          </w:p>
          <w:p w14:paraId="5BBC7CCD" w14:textId="77777777" w:rsidR="00391793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No report produced</w:t>
            </w:r>
          </w:p>
          <w:p w14:paraId="1BED3F5F" w14:textId="31FD413D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323FB79C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0958E46C" w14:textId="77777777" w:rsidR="009D2ADD" w:rsidRPr="0080008A" w:rsidRDefault="004E1BBB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lastRenderedPageBreak/>
              <w:t>In channel and surrounding habitat description</w:t>
            </w:r>
          </w:p>
        </w:tc>
      </w:tr>
      <w:tr w:rsidR="0080008A" w:rsidRPr="0080008A" w14:paraId="7704E65F" w14:textId="77777777" w:rsidTr="0080008A">
        <w:trPr>
          <w:trHeight w:val="290"/>
        </w:trPr>
        <w:tc>
          <w:tcPr>
            <w:tcW w:w="9918" w:type="dxa"/>
            <w:gridSpan w:val="3"/>
          </w:tcPr>
          <w:p w14:paraId="5173B43D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06D3E62B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General habitat description such as substrate, general flow, modifications to channel.</w:t>
            </w:r>
          </w:p>
          <w:p w14:paraId="0A31C562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Include photographs where possible and River Corridor Surveys if undertaken, include NGR as well as orientation.</w:t>
            </w:r>
          </w:p>
          <w:p w14:paraId="49A585D1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  <w:p w14:paraId="4ACF5097" w14:textId="668B9EB5" w:rsidR="009D570D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 xml:space="preserve">This is covered in section </w:t>
            </w:r>
            <w:r w:rsidR="008E2B2A">
              <w:rPr>
                <w:b/>
                <w:bCs/>
                <w:i/>
                <w:iCs/>
                <w:color w:val="auto"/>
              </w:rPr>
              <w:t>4.3</w:t>
            </w:r>
            <w:r w:rsidRPr="00162D68">
              <w:rPr>
                <w:b/>
                <w:bCs/>
                <w:i/>
                <w:iCs/>
                <w:color w:val="auto"/>
              </w:rPr>
              <w:t xml:space="preserve"> – Initial site assessment/walkover surveys.</w:t>
            </w:r>
          </w:p>
          <w:p w14:paraId="5A25CBB6" w14:textId="6E0B83E1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28486F7D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1206C1E0" w14:textId="3CBCFC8C" w:rsidR="004E1BBB" w:rsidRPr="0080008A" w:rsidRDefault="00764177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W</w:t>
            </w:r>
            <w:r w:rsidR="004E1BBB" w:rsidRPr="0080008A">
              <w:rPr>
                <w:b/>
                <w:color w:val="auto"/>
              </w:rPr>
              <w:t>ater quality and chemistry information</w:t>
            </w:r>
          </w:p>
        </w:tc>
      </w:tr>
      <w:tr w:rsidR="0080008A" w:rsidRPr="0080008A" w14:paraId="7166E4B3" w14:textId="77777777" w:rsidTr="0080008A">
        <w:trPr>
          <w:trHeight w:val="290"/>
        </w:trPr>
        <w:tc>
          <w:tcPr>
            <w:tcW w:w="9918" w:type="dxa"/>
            <w:gridSpan w:val="3"/>
          </w:tcPr>
          <w:p w14:paraId="7DE9E254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3B9270C2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Include all water quality analysis undertaken on waterbody of interest, both current and historical.</w:t>
            </w:r>
          </w:p>
          <w:p w14:paraId="56EFEDF7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  <w:p w14:paraId="075624A9" w14:textId="0EC92DD5" w:rsidR="009D570D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 1.4 – Water quality and chemistry.</w:t>
            </w:r>
          </w:p>
          <w:p w14:paraId="62F879D6" w14:textId="25BAB8F4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7CB4A2EC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13609EB1" w14:textId="77777777" w:rsidR="00785109" w:rsidRPr="0080008A" w:rsidRDefault="00785109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Barrier screening</w:t>
            </w:r>
          </w:p>
        </w:tc>
      </w:tr>
      <w:tr w:rsidR="0080008A" w:rsidRPr="0080008A" w14:paraId="1DB2564B" w14:textId="77777777" w:rsidTr="0080008A">
        <w:trPr>
          <w:trHeight w:val="290"/>
        </w:trPr>
        <w:tc>
          <w:tcPr>
            <w:tcW w:w="9918" w:type="dxa"/>
            <w:gridSpan w:val="3"/>
          </w:tcPr>
          <w:p w14:paraId="38DB2189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4B327EE6" w14:textId="77777777" w:rsidR="00162D68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 xml:space="preserve">Provide details and photos of barriers existing within the waterbody and upstream/downstream. </w:t>
            </w:r>
          </w:p>
          <w:p w14:paraId="564AC05C" w14:textId="77777777" w:rsidR="00162D68" w:rsidRDefault="00162D68" w:rsidP="00764177">
            <w:pPr>
              <w:pStyle w:val="Default"/>
              <w:rPr>
                <w:color w:val="auto"/>
              </w:rPr>
            </w:pPr>
          </w:p>
          <w:p w14:paraId="5A211B12" w14:textId="6B3B2015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Details of the barrier</w:t>
            </w:r>
            <w:r w:rsidR="00162D68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>should be recorded here.</w:t>
            </w:r>
          </w:p>
          <w:p w14:paraId="3F5AA01C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  <w:p w14:paraId="424F177C" w14:textId="77777777" w:rsidR="00785109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 4.1 Desktop study assessment and section 4.10 Habitat enhancement.</w:t>
            </w:r>
          </w:p>
          <w:p w14:paraId="6321AB37" w14:textId="1CBAB8C5" w:rsidR="00764177" w:rsidRPr="0080008A" w:rsidRDefault="00764177" w:rsidP="00764177">
            <w:pPr>
              <w:pStyle w:val="Default"/>
              <w:rPr>
                <w:b/>
                <w:color w:val="auto"/>
              </w:rPr>
            </w:pPr>
          </w:p>
        </w:tc>
      </w:tr>
      <w:tr w:rsidR="0080008A" w:rsidRPr="0080008A" w14:paraId="256E5BD6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5DA531A4" w14:textId="77777777" w:rsidR="008D6BEF" w:rsidRPr="0080008A" w:rsidRDefault="008D6BEF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Non-target species of concern</w:t>
            </w:r>
          </w:p>
        </w:tc>
      </w:tr>
      <w:tr w:rsidR="0080008A" w:rsidRPr="0080008A" w14:paraId="6ECB7195" w14:textId="77777777" w:rsidTr="0080008A">
        <w:trPr>
          <w:trHeight w:val="290"/>
        </w:trPr>
        <w:tc>
          <w:tcPr>
            <w:tcW w:w="9918" w:type="dxa"/>
            <w:gridSpan w:val="3"/>
          </w:tcPr>
          <w:p w14:paraId="15C5F2DE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77B7CC20" w14:textId="0CC277A5" w:rsidR="00764177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You must…</w:t>
            </w:r>
          </w:p>
          <w:p w14:paraId="1B74AFD6" w14:textId="77777777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  <w:p w14:paraId="78744FFC" w14:textId="600928AD" w:rsidR="00764177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List any known populations of species likely to impact any white-clawed crayfish population once it is introduced</w:t>
            </w:r>
            <w:r w:rsidR="00162D68">
              <w:rPr>
                <w:color w:val="auto"/>
              </w:rPr>
              <w:t xml:space="preserve"> and e</w:t>
            </w:r>
            <w:r w:rsidRPr="0080008A">
              <w:rPr>
                <w:color w:val="auto"/>
              </w:rPr>
              <w:t>xplain the likelihood of any impact.</w:t>
            </w:r>
          </w:p>
          <w:p w14:paraId="55682495" w14:textId="77777777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  <w:p w14:paraId="212D763A" w14:textId="175053CE" w:rsidR="00764177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And…</w:t>
            </w:r>
          </w:p>
          <w:p w14:paraId="7FABB9FC" w14:textId="77777777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  <w:p w14:paraId="4885A464" w14:textId="0E610A19" w:rsidR="00764177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List and assess the risk to any species present likely to be impacted by the introduction of white-clawed crayfish. This</w:t>
            </w:r>
            <w:r w:rsidR="00162D68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>includes species such as freshwater pearl mussels, macrophytes invertebrates etc.</w:t>
            </w:r>
          </w:p>
          <w:p w14:paraId="3BCD1F7F" w14:textId="77777777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  <w:p w14:paraId="4A005BEE" w14:textId="77777777" w:rsidR="00764177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sections 1.7 Predators and prey, 1.8 NICS – non-indigenous crayfish species</w:t>
            </w:r>
          </w:p>
          <w:p w14:paraId="37E0A830" w14:textId="77777777" w:rsidR="008D6BEF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and 4.1 Desktop study assessment.</w:t>
            </w:r>
          </w:p>
          <w:p w14:paraId="79312E55" w14:textId="473E30BD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2FB6037F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B6DDE8" w:themeFill="accent5" w:themeFillTint="66"/>
          </w:tcPr>
          <w:p w14:paraId="0DD140F7" w14:textId="77777777" w:rsidR="008D6BEF" w:rsidRPr="0080008A" w:rsidRDefault="008D6BEF" w:rsidP="00015284">
            <w:pPr>
              <w:pStyle w:val="Default"/>
              <w:tabs>
                <w:tab w:val="left" w:pos="2143"/>
              </w:tabs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 xml:space="preserve">Site designations </w:t>
            </w:r>
            <w:r w:rsidR="00017165" w:rsidRPr="0080008A">
              <w:rPr>
                <w:b/>
                <w:color w:val="auto"/>
              </w:rPr>
              <w:tab/>
            </w:r>
          </w:p>
        </w:tc>
      </w:tr>
      <w:tr w:rsidR="0080008A" w:rsidRPr="0080008A" w14:paraId="02864C5B" w14:textId="77777777" w:rsidTr="0080008A">
        <w:trPr>
          <w:trHeight w:val="290"/>
        </w:trPr>
        <w:tc>
          <w:tcPr>
            <w:tcW w:w="9918" w:type="dxa"/>
            <w:gridSpan w:val="3"/>
          </w:tcPr>
          <w:p w14:paraId="74B0E8B7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7B15D9CF" w14:textId="6F0F68FD" w:rsidR="00764177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Detail any conservation designations associated with the site. Assess and explain the likelihood of any impact from the</w:t>
            </w:r>
            <w:r w:rsidR="00162D68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>introduction of white-clawed crayfish to the site.</w:t>
            </w:r>
          </w:p>
          <w:p w14:paraId="7F227450" w14:textId="77777777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  <w:p w14:paraId="77AED0C2" w14:textId="77777777" w:rsidR="008D6BEF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 4.1 Desktop study assessment.</w:t>
            </w:r>
          </w:p>
          <w:p w14:paraId="476ED8F7" w14:textId="67D529BB" w:rsidR="00162D68" w:rsidRPr="0080008A" w:rsidRDefault="00162D68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3493A5F5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FBD4B4" w:themeFill="accent6" w:themeFillTint="66"/>
          </w:tcPr>
          <w:p w14:paraId="752C039D" w14:textId="77777777" w:rsidR="001334EA" w:rsidRPr="0080008A" w:rsidRDefault="00AC230B" w:rsidP="00015284">
            <w:pPr>
              <w:pStyle w:val="Default"/>
              <w:tabs>
                <w:tab w:val="left" w:pos="2955"/>
              </w:tabs>
              <w:rPr>
                <w:b/>
                <w:color w:val="auto"/>
                <w:sz w:val="36"/>
              </w:rPr>
            </w:pPr>
            <w:r w:rsidRPr="0080008A">
              <w:rPr>
                <w:b/>
                <w:color w:val="auto"/>
                <w:sz w:val="36"/>
              </w:rPr>
              <w:lastRenderedPageBreak/>
              <w:t xml:space="preserve">B: </w:t>
            </w:r>
            <w:r w:rsidR="00785109" w:rsidRPr="0080008A">
              <w:rPr>
                <w:b/>
                <w:color w:val="auto"/>
                <w:sz w:val="36"/>
              </w:rPr>
              <w:t>Threats</w:t>
            </w:r>
          </w:p>
        </w:tc>
      </w:tr>
      <w:tr w:rsidR="0080008A" w:rsidRPr="0080008A" w14:paraId="3BDBC6AD" w14:textId="77777777" w:rsidTr="0080008A">
        <w:trPr>
          <w:trHeight w:val="290"/>
        </w:trPr>
        <w:tc>
          <w:tcPr>
            <w:tcW w:w="9918" w:type="dxa"/>
            <w:gridSpan w:val="3"/>
            <w:shd w:val="clear" w:color="auto" w:fill="FBD4B4" w:themeFill="accent6" w:themeFillTint="66"/>
          </w:tcPr>
          <w:p w14:paraId="1F528597" w14:textId="77777777" w:rsidR="009D2ADD" w:rsidRPr="0080008A" w:rsidRDefault="009D2ADD" w:rsidP="00015284">
            <w:pPr>
              <w:pStyle w:val="Default"/>
              <w:rPr>
                <w:color w:val="auto"/>
              </w:rPr>
            </w:pPr>
            <w:r w:rsidRPr="0080008A">
              <w:rPr>
                <w:b/>
                <w:color w:val="auto"/>
              </w:rPr>
              <w:t>Threat from non-indigenous crayfish species (NICS)</w:t>
            </w:r>
          </w:p>
        </w:tc>
      </w:tr>
      <w:tr w:rsidR="0080008A" w:rsidRPr="0080008A" w14:paraId="403391D8" w14:textId="77777777" w:rsidTr="0080008A">
        <w:trPr>
          <w:trHeight w:val="647"/>
        </w:trPr>
        <w:tc>
          <w:tcPr>
            <w:tcW w:w="9918" w:type="dxa"/>
            <w:gridSpan w:val="3"/>
          </w:tcPr>
          <w:p w14:paraId="7961A5FF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393023B0" w14:textId="426CB56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List any known populations in the vicinity.</w:t>
            </w:r>
          </w:p>
          <w:p w14:paraId="5F77FE44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  <w:p w14:paraId="06D5ED8F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Provide a map to show the distance and any routes for invasion including upstream/downstream and likelihood of</w:t>
            </w:r>
          </w:p>
          <w:p w14:paraId="58073986" w14:textId="15A84B0A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over-land migration.</w:t>
            </w:r>
          </w:p>
          <w:p w14:paraId="74538044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  <w:p w14:paraId="293FF50A" w14:textId="77777777" w:rsidR="009D570D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 1.8 NICS – non-indigenous crayfish species.</w:t>
            </w:r>
          </w:p>
          <w:p w14:paraId="30E79B0A" w14:textId="5352C442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59FB3DE5" w14:textId="77777777" w:rsidTr="0080008A">
        <w:trPr>
          <w:trHeight w:val="279"/>
        </w:trPr>
        <w:tc>
          <w:tcPr>
            <w:tcW w:w="9918" w:type="dxa"/>
            <w:gridSpan w:val="3"/>
            <w:shd w:val="clear" w:color="auto" w:fill="FBD4B4" w:themeFill="accent6" w:themeFillTint="66"/>
          </w:tcPr>
          <w:p w14:paraId="156EE2B0" w14:textId="77777777" w:rsidR="00A12B77" w:rsidRPr="0080008A" w:rsidRDefault="00A12B77" w:rsidP="00015284">
            <w:pPr>
              <w:pStyle w:val="Default"/>
              <w:rPr>
                <w:color w:val="auto"/>
              </w:rPr>
            </w:pPr>
            <w:r w:rsidRPr="0080008A">
              <w:rPr>
                <w:b/>
                <w:color w:val="auto"/>
              </w:rPr>
              <w:t>Biosecurity Threats</w:t>
            </w:r>
          </w:p>
        </w:tc>
      </w:tr>
      <w:tr w:rsidR="0080008A" w:rsidRPr="0080008A" w14:paraId="2A231D6B" w14:textId="77777777" w:rsidTr="0080008A">
        <w:trPr>
          <w:trHeight w:val="591"/>
        </w:trPr>
        <w:tc>
          <w:tcPr>
            <w:tcW w:w="9918" w:type="dxa"/>
            <w:gridSpan w:val="3"/>
          </w:tcPr>
          <w:p w14:paraId="168270BB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041AC7D6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Details of potential biosecurity risks such as angling, water sports, water transfers, green lane motorists or other activity</w:t>
            </w:r>
          </w:p>
          <w:p w14:paraId="12710249" w14:textId="3E4C99C9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groups. List groups and contacts if possible.</w:t>
            </w:r>
          </w:p>
          <w:p w14:paraId="1BB47C41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  <w:p w14:paraId="1FC406FB" w14:textId="77777777" w:rsidR="009D570D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 4.1 Desktop study assessment.</w:t>
            </w:r>
          </w:p>
          <w:p w14:paraId="0F82DB48" w14:textId="5C32B12E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6027B993" w14:textId="77777777" w:rsidTr="0080008A">
        <w:trPr>
          <w:trHeight w:val="300"/>
        </w:trPr>
        <w:tc>
          <w:tcPr>
            <w:tcW w:w="9918" w:type="dxa"/>
            <w:gridSpan w:val="3"/>
            <w:shd w:val="clear" w:color="auto" w:fill="FBD4B4" w:themeFill="accent6" w:themeFillTint="66"/>
          </w:tcPr>
          <w:p w14:paraId="202C578F" w14:textId="77777777" w:rsidR="00A12B77" w:rsidRPr="0080008A" w:rsidRDefault="00A12B77" w:rsidP="00015284">
            <w:pPr>
              <w:pStyle w:val="Default"/>
              <w:rPr>
                <w:color w:val="auto"/>
              </w:rPr>
            </w:pPr>
            <w:r w:rsidRPr="0080008A">
              <w:rPr>
                <w:b/>
                <w:color w:val="auto"/>
              </w:rPr>
              <w:t xml:space="preserve">Threats from pollution, discharge, </w:t>
            </w:r>
            <w:proofErr w:type="gramStart"/>
            <w:r w:rsidRPr="0080008A">
              <w:rPr>
                <w:b/>
                <w:color w:val="auto"/>
              </w:rPr>
              <w:t>abstractions</w:t>
            </w:r>
            <w:proofErr w:type="gramEnd"/>
            <w:r w:rsidRPr="0080008A">
              <w:rPr>
                <w:b/>
                <w:color w:val="auto"/>
              </w:rPr>
              <w:t xml:space="preserve"> or development</w:t>
            </w:r>
          </w:p>
        </w:tc>
      </w:tr>
      <w:tr w:rsidR="0080008A" w:rsidRPr="0080008A" w14:paraId="1DD7E68A" w14:textId="77777777" w:rsidTr="0080008A">
        <w:trPr>
          <w:trHeight w:val="623"/>
        </w:trPr>
        <w:tc>
          <w:tcPr>
            <w:tcW w:w="9918" w:type="dxa"/>
            <w:gridSpan w:val="3"/>
          </w:tcPr>
          <w:p w14:paraId="6F07382E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4BB67A6D" w14:textId="7B14CB54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List environmental permits or licences in the area likely to impact upon the waterbody</w:t>
            </w:r>
          </w:p>
          <w:p w14:paraId="67C955A4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  <w:p w14:paraId="15390832" w14:textId="77777777" w:rsidR="009D570D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sections 4.1 Desktop study assessment and 4.10 Habitat enhancement.</w:t>
            </w:r>
          </w:p>
          <w:p w14:paraId="2EAC2A1A" w14:textId="31E765CC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5B184185" w14:textId="77777777" w:rsidTr="0080008A">
        <w:trPr>
          <w:trHeight w:val="311"/>
        </w:trPr>
        <w:tc>
          <w:tcPr>
            <w:tcW w:w="9918" w:type="dxa"/>
            <w:gridSpan w:val="3"/>
            <w:shd w:val="clear" w:color="auto" w:fill="FBD4B4" w:themeFill="accent6" w:themeFillTint="66"/>
          </w:tcPr>
          <w:p w14:paraId="7EB4045C" w14:textId="77777777" w:rsidR="00AE48BA" w:rsidRPr="0080008A" w:rsidRDefault="004B2D90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L</w:t>
            </w:r>
            <w:r w:rsidR="00AE48BA" w:rsidRPr="0080008A">
              <w:rPr>
                <w:b/>
                <w:color w:val="auto"/>
              </w:rPr>
              <w:t>ikely or confirmed crayfish plague outbreaks on this population</w:t>
            </w:r>
            <w:r w:rsidR="004E1BBB" w:rsidRPr="0080008A">
              <w:rPr>
                <w:b/>
                <w:color w:val="auto"/>
              </w:rPr>
              <w:t xml:space="preserve"> </w:t>
            </w:r>
            <w:r w:rsidR="004E1BBB" w:rsidRPr="0080008A">
              <w:rPr>
                <w:b/>
                <w:color w:val="auto"/>
                <w:u w:val="single"/>
              </w:rPr>
              <w:t>or</w:t>
            </w:r>
            <w:r w:rsidR="004E1BBB" w:rsidRPr="0080008A">
              <w:rPr>
                <w:b/>
                <w:color w:val="auto"/>
              </w:rPr>
              <w:t xml:space="preserve"> within catchment</w:t>
            </w:r>
          </w:p>
        </w:tc>
      </w:tr>
      <w:tr w:rsidR="0080008A" w:rsidRPr="0080008A" w14:paraId="1FE20DB7" w14:textId="77777777" w:rsidTr="0080008A">
        <w:trPr>
          <w:trHeight w:val="311"/>
        </w:trPr>
        <w:tc>
          <w:tcPr>
            <w:tcW w:w="9918" w:type="dxa"/>
            <w:gridSpan w:val="3"/>
          </w:tcPr>
          <w:p w14:paraId="4C966E25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424384CE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 xml:space="preserve">List dates of event and if </w:t>
            </w:r>
            <w:proofErr w:type="spellStart"/>
            <w:r w:rsidRPr="0080008A">
              <w:rPr>
                <w:color w:val="auto"/>
              </w:rPr>
              <w:t>Cefas</w:t>
            </w:r>
            <w:proofErr w:type="spellEnd"/>
            <w:r w:rsidRPr="0080008A">
              <w:rPr>
                <w:color w:val="auto"/>
              </w:rPr>
              <w:t xml:space="preserve"> was contacted for assessment of samples. Provide information if report was returned.</w:t>
            </w:r>
          </w:p>
          <w:p w14:paraId="334A9E97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Provide details on assumed vector and whether risks still exist.</w:t>
            </w:r>
          </w:p>
          <w:p w14:paraId="4FC9BAC1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  <w:p w14:paraId="3015DCDC" w14:textId="51C6B990" w:rsidR="00AE48BA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sections 1.6 Disease, 4.1 Desktop study assessment and 4.10 Habitat enhancement.</w:t>
            </w:r>
          </w:p>
          <w:p w14:paraId="72722428" w14:textId="774F1642" w:rsidR="00764177" w:rsidRPr="0080008A" w:rsidRDefault="00764177" w:rsidP="00764177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100057D0" w14:textId="77777777" w:rsidTr="0080008A">
        <w:trPr>
          <w:trHeight w:val="311"/>
        </w:trPr>
        <w:tc>
          <w:tcPr>
            <w:tcW w:w="9918" w:type="dxa"/>
            <w:gridSpan w:val="3"/>
            <w:shd w:val="clear" w:color="auto" w:fill="FBD4B4" w:themeFill="accent6" w:themeFillTint="66"/>
          </w:tcPr>
          <w:p w14:paraId="3E34F0A2" w14:textId="77777777" w:rsidR="008310BC" w:rsidRPr="0080008A" w:rsidRDefault="008310BC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 xml:space="preserve">Drought/climate </w:t>
            </w:r>
            <w:r w:rsidRPr="0080008A">
              <w:rPr>
                <w:b/>
                <w:color w:val="auto"/>
                <w:shd w:val="clear" w:color="auto" w:fill="FBD4B4" w:themeFill="accent6" w:themeFillTint="66"/>
              </w:rPr>
              <w:t>change threats</w:t>
            </w:r>
          </w:p>
        </w:tc>
      </w:tr>
      <w:tr w:rsidR="0080008A" w:rsidRPr="0080008A" w14:paraId="4D5D5241" w14:textId="77777777" w:rsidTr="0080008A">
        <w:trPr>
          <w:trHeight w:val="311"/>
        </w:trPr>
        <w:tc>
          <w:tcPr>
            <w:tcW w:w="9918" w:type="dxa"/>
            <w:gridSpan w:val="3"/>
          </w:tcPr>
          <w:p w14:paraId="78357BAF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2448ABEE" w14:textId="3DBAEC31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Information on whether the waterbody has historically dried up in prolonged dry weather, suffers from flooding or is an</w:t>
            </w:r>
            <w:r w:rsidR="00162D68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>ephemeral watercourse. If in a reservoir, are there issues with low levels or emergency supply requirements.</w:t>
            </w:r>
          </w:p>
          <w:p w14:paraId="48733E20" w14:textId="77777777" w:rsidR="00764177" w:rsidRPr="0080008A" w:rsidRDefault="00764177" w:rsidP="00764177">
            <w:pPr>
              <w:pStyle w:val="Default"/>
              <w:tabs>
                <w:tab w:val="left" w:pos="6770"/>
              </w:tabs>
              <w:rPr>
                <w:color w:val="auto"/>
              </w:rPr>
            </w:pPr>
          </w:p>
          <w:p w14:paraId="102F2969" w14:textId="7C5448A1" w:rsidR="009D570D" w:rsidRPr="00162D68" w:rsidRDefault="00764177" w:rsidP="00764177">
            <w:pPr>
              <w:pStyle w:val="Default"/>
              <w:tabs>
                <w:tab w:val="left" w:pos="6770"/>
              </w:tabs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 4.1 Desktop study assessment.</w:t>
            </w:r>
            <w:r w:rsidRPr="00162D68">
              <w:rPr>
                <w:b/>
                <w:bCs/>
                <w:i/>
                <w:iCs/>
                <w:color w:val="auto"/>
              </w:rPr>
              <w:tab/>
            </w:r>
          </w:p>
          <w:p w14:paraId="6C6DDA51" w14:textId="289C532A" w:rsidR="00764177" w:rsidRPr="0080008A" w:rsidRDefault="00764177" w:rsidP="00764177">
            <w:pPr>
              <w:pStyle w:val="Default"/>
              <w:tabs>
                <w:tab w:val="left" w:pos="6770"/>
              </w:tabs>
              <w:rPr>
                <w:color w:val="auto"/>
              </w:rPr>
            </w:pPr>
          </w:p>
        </w:tc>
      </w:tr>
      <w:tr w:rsidR="0080008A" w:rsidRPr="0080008A" w14:paraId="2218C7F3" w14:textId="77777777" w:rsidTr="0080008A">
        <w:trPr>
          <w:trHeight w:val="311"/>
        </w:trPr>
        <w:tc>
          <w:tcPr>
            <w:tcW w:w="9918" w:type="dxa"/>
            <w:gridSpan w:val="3"/>
            <w:shd w:val="clear" w:color="auto" w:fill="FBD4B4" w:themeFill="accent6" w:themeFillTint="66"/>
          </w:tcPr>
          <w:p w14:paraId="10297922" w14:textId="77777777" w:rsidR="001D40E6" w:rsidRPr="0080008A" w:rsidRDefault="00AE48BA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Overall comments on long term survival of population</w:t>
            </w:r>
          </w:p>
        </w:tc>
      </w:tr>
      <w:tr w:rsidR="0080008A" w:rsidRPr="0080008A" w14:paraId="5DECFD88" w14:textId="77777777" w:rsidTr="0080008A">
        <w:trPr>
          <w:trHeight w:val="311"/>
        </w:trPr>
        <w:tc>
          <w:tcPr>
            <w:tcW w:w="9918" w:type="dxa"/>
            <w:gridSpan w:val="3"/>
          </w:tcPr>
          <w:p w14:paraId="2BBB6A67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4FEDC2F0" w14:textId="77777777" w:rsidR="007C74A2" w:rsidRPr="0080008A" w:rsidRDefault="00EC203B" w:rsidP="00015284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Short description of main threats to the site from</w:t>
            </w:r>
            <w:r w:rsidR="00AE48BA" w:rsidRPr="0080008A">
              <w:rPr>
                <w:color w:val="auto"/>
              </w:rPr>
              <w:t xml:space="preserve"> the </w:t>
            </w:r>
            <w:r w:rsidRPr="0080008A">
              <w:rPr>
                <w:color w:val="auto"/>
              </w:rPr>
              <w:t>above factors.</w:t>
            </w:r>
            <w:r w:rsidR="008310BC" w:rsidRPr="0080008A">
              <w:rPr>
                <w:color w:val="auto"/>
              </w:rPr>
              <w:t xml:space="preserve"> </w:t>
            </w:r>
          </w:p>
          <w:p w14:paraId="6F5C6300" w14:textId="7DFCB005" w:rsidR="009D570D" w:rsidRDefault="009D570D" w:rsidP="00015284">
            <w:pPr>
              <w:pStyle w:val="Default"/>
              <w:rPr>
                <w:color w:val="auto"/>
              </w:rPr>
            </w:pPr>
          </w:p>
          <w:p w14:paraId="61F9B69C" w14:textId="43DF762F" w:rsidR="00162D68" w:rsidRDefault="00162D68" w:rsidP="00015284">
            <w:pPr>
              <w:pStyle w:val="Default"/>
              <w:rPr>
                <w:color w:val="auto"/>
              </w:rPr>
            </w:pPr>
          </w:p>
          <w:p w14:paraId="6EC5B80C" w14:textId="32328F6F" w:rsidR="00162D68" w:rsidRDefault="00162D68" w:rsidP="00015284">
            <w:pPr>
              <w:pStyle w:val="Default"/>
              <w:rPr>
                <w:color w:val="auto"/>
              </w:rPr>
            </w:pPr>
          </w:p>
          <w:p w14:paraId="58B55E87" w14:textId="40F84CA4" w:rsidR="00162D68" w:rsidRDefault="00162D68" w:rsidP="00015284">
            <w:pPr>
              <w:pStyle w:val="Default"/>
              <w:rPr>
                <w:color w:val="auto"/>
              </w:rPr>
            </w:pPr>
          </w:p>
          <w:p w14:paraId="10A10320" w14:textId="77777777" w:rsidR="00162D68" w:rsidRPr="0080008A" w:rsidRDefault="00162D68" w:rsidP="00015284">
            <w:pPr>
              <w:pStyle w:val="Default"/>
              <w:rPr>
                <w:color w:val="auto"/>
              </w:rPr>
            </w:pPr>
          </w:p>
          <w:p w14:paraId="464EF3D5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5ED76A45" w14:textId="77777777" w:rsidTr="0080008A">
        <w:trPr>
          <w:trHeight w:val="279"/>
        </w:trPr>
        <w:tc>
          <w:tcPr>
            <w:tcW w:w="9918" w:type="dxa"/>
            <w:gridSpan w:val="3"/>
            <w:shd w:val="clear" w:color="auto" w:fill="9BBB59" w:themeFill="accent3"/>
          </w:tcPr>
          <w:p w14:paraId="67C72B5D" w14:textId="77777777" w:rsidR="001334EA" w:rsidRPr="0080008A" w:rsidRDefault="00AC230B" w:rsidP="004107E9">
            <w:pPr>
              <w:pStyle w:val="Default"/>
              <w:rPr>
                <w:b/>
                <w:color w:val="auto"/>
                <w:sz w:val="36"/>
              </w:rPr>
            </w:pPr>
            <w:r w:rsidRPr="0080008A">
              <w:rPr>
                <w:b/>
                <w:color w:val="auto"/>
                <w:sz w:val="36"/>
              </w:rPr>
              <w:lastRenderedPageBreak/>
              <w:t xml:space="preserve">C: </w:t>
            </w:r>
            <w:r w:rsidR="004107E9" w:rsidRPr="0080008A">
              <w:rPr>
                <w:b/>
                <w:color w:val="auto"/>
                <w:sz w:val="36"/>
              </w:rPr>
              <w:t>Opportunities</w:t>
            </w:r>
          </w:p>
        </w:tc>
      </w:tr>
      <w:tr w:rsidR="0080008A" w:rsidRPr="0080008A" w14:paraId="7EA0EC17" w14:textId="77777777" w:rsidTr="0080008A">
        <w:trPr>
          <w:trHeight w:val="279"/>
        </w:trPr>
        <w:tc>
          <w:tcPr>
            <w:tcW w:w="9918" w:type="dxa"/>
            <w:gridSpan w:val="3"/>
            <w:shd w:val="clear" w:color="auto" w:fill="9BBB59" w:themeFill="accent3"/>
          </w:tcPr>
          <w:p w14:paraId="0914D0F5" w14:textId="77777777" w:rsidR="00A12B77" w:rsidRPr="0080008A" w:rsidRDefault="00150357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S</w:t>
            </w:r>
            <w:r w:rsidR="001E190C" w:rsidRPr="0080008A">
              <w:rPr>
                <w:b/>
                <w:color w:val="auto"/>
              </w:rPr>
              <w:t>takeholders and partners</w:t>
            </w:r>
            <w:r w:rsidR="00A12B77" w:rsidRPr="0080008A">
              <w:rPr>
                <w:b/>
                <w:color w:val="auto"/>
              </w:rPr>
              <w:t xml:space="preserve"> </w:t>
            </w:r>
          </w:p>
        </w:tc>
      </w:tr>
      <w:tr w:rsidR="0080008A" w:rsidRPr="0080008A" w14:paraId="3F5676EC" w14:textId="77777777" w:rsidTr="0080008A">
        <w:trPr>
          <w:trHeight w:val="397"/>
        </w:trPr>
        <w:tc>
          <w:tcPr>
            <w:tcW w:w="9918" w:type="dxa"/>
            <w:gridSpan w:val="3"/>
          </w:tcPr>
          <w:p w14:paraId="7E8E2B2F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642CEDAA" w14:textId="77777777" w:rsidR="00764177" w:rsidRPr="0080008A" w:rsidRDefault="00764177" w:rsidP="00764177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Identify landowners associated with the waterbody and associated landholdings. Also identify potential delivery partners</w:t>
            </w:r>
          </w:p>
          <w:p w14:paraId="5F707743" w14:textId="77777777" w:rsidR="0080008A" w:rsidRPr="0080008A" w:rsidRDefault="0080008A" w:rsidP="00764177">
            <w:pPr>
              <w:pStyle w:val="Default"/>
              <w:rPr>
                <w:color w:val="auto"/>
              </w:rPr>
            </w:pPr>
          </w:p>
          <w:p w14:paraId="1C7E2A2E" w14:textId="36F33212" w:rsidR="009D570D" w:rsidRPr="00162D68" w:rsidRDefault="00764177" w:rsidP="00764177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sections 2.2 Conservation planning &amp; stakeholder engagement, 4.4 Initial stakeholder engagement,</w:t>
            </w:r>
            <w:r w:rsidR="00162D68" w:rsidRPr="00162D68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162D68">
              <w:rPr>
                <w:b/>
                <w:bCs/>
                <w:i/>
                <w:iCs/>
                <w:color w:val="auto"/>
              </w:rPr>
              <w:t>4.6 Site-specific stakeholder engagement and chapter 7: Communication &amp; outreach.</w:t>
            </w:r>
          </w:p>
          <w:p w14:paraId="512CD0E3" w14:textId="789C3A86" w:rsidR="0080008A" w:rsidRPr="0080008A" w:rsidRDefault="0080008A" w:rsidP="00764177">
            <w:pPr>
              <w:pStyle w:val="Default"/>
              <w:rPr>
                <w:b/>
                <w:color w:val="auto"/>
              </w:rPr>
            </w:pPr>
          </w:p>
        </w:tc>
      </w:tr>
      <w:tr w:rsidR="0080008A" w:rsidRPr="0080008A" w14:paraId="3BF44F8B" w14:textId="77777777" w:rsidTr="0080008A">
        <w:trPr>
          <w:trHeight w:val="380"/>
        </w:trPr>
        <w:tc>
          <w:tcPr>
            <w:tcW w:w="9918" w:type="dxa"/>
            <w:gridSpan w:val="3"/>
            <w:shd w:val="clear" w:color="auto" w:fill="9BBB59" w:themeFill="accent3"/>
          </w:tcPr>
          <w:p w14:paraId="731D0922" w14:textId="77777777" w:rsidR="00150357" w:rsidRPr="0080008A" w:rsidRDefault="00150357" w:rsidP="0001528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>Links to</w:t>
            </w:r>
            <w:r w:rsidR="00075B85" w:rsidRPr="0080008A">
              <w:rPr>
                <w:b/>
                <w:color w:val="auto"/>
              </w:rPr>
              <w:t xml:space="preserve"> existing or proposed projects</w:t>
            </w:r>
            <w:r w:rsidR="00C4748D" w:rsidRPr="0080008A">
              <w:rPr>
                <w:b/>
                <w:color w:val="auto"/>
              </w:rPr>
              <w:t xml:space="preserve"> </w:t>
            </w:r>
          </w:p>
        </w:tc>
      </w:tr>
      <w:tr w:rsidR="0080008A" w:rsidRPr="0080008A" w14:paraId="6D512E3A" w14:textId="77777777" w:rsidTr="0080008A">
        <w:trPr>
          <w:trHeight w:val="666"/>
        </w:trPr>
        <w:tc>
          <w:tcPr>
            <w:tcW w:w="9918" w:type="dxa"/>
            <w:gridSpan w:val="3"/>
          </w:tcPr>
          <w:p w14:paraId="269C5A72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2DEFFB32" w14:textId="77777777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If this site is being considered along with other WCC related sites list sites and explain relationship</w:t>
            </w:r>
          </w:p>
          <w:p w14:paraId="7FFB91B2" w14:textId="77777777" w:rsidR="00162D68" w:rsidRDefault="00162D68" w:rsidP="0080008A">
            <w:pPr>
              <w:pStyle w:val="Default"/>
              <w:rPr>
                <w:color w:val="auto"/>
              </w:rPr>
            </w:pPr>
          </w:p>
          <w:p w14:paraId="1E00DE9A" w14:textId="20693AA5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Also include proposed development or maintenance activities on waterbodies containing WCC may present</w:t>
            </w:r>
            <w:r w:rsidR="00162D68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 xml:space="preserve">opportunities for habitat improvement, </w:t>
            </w:r>
            <w:proofErr w:type="gramStart"/>
            <w:r w:rsidRPr="0080008A">
              <w:rPr>
                <w:color w:val="auto"/>
              </w:rPr>
              <w:t>mitigation</w:t>
            </w:r>
            <w:proofErr w:type="gramEnd"/>
            <w:r w:rsidRPr="0080008A">
              <w:rPr>
                <w:color w:val="auto"/>
              </w:rPr>
              <w:t xml:space="preserve"> or activities such as drawdowns which can be used to source donor</w:t>
            </w:r>
            <w:r w:rsidR="00162D68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>stock for ark sites.</w:t>
            </w:r>
          </w:p>
          <w:p w14:paraId="625050B4" w14:textId="77777777" w:rsidR="0080008A" w:rsidRPr="0080008A" w:rsidRDefault="0080008A" w:rsidP="0080008A">
            <w:pPr>
              <w:pStyle w:val="Default"/>
              <w:rPr>
                <w:color w:val="auto"/>
              </w:rPr>
            </w:pPr>
          </w:p>
          <w:p w14:paraId="2A556834" w14:textId="77777777" w:rsidR="009D570D" w:rsidRPr="00162D68" w:rsidRDefault="0080008A" w:rsidP="0080008A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sections 2.4 Producing a conservation strategy/action plan and 4.1 Desktop study assessment.</w:t>
            </w:r>
          </w:p>
          <w:p w14:paraId="151BF9F7" w14:textId="1B125BB8" w:rsidR="0080008A" w:rsidRPr="0080008A" w:rsidRDefault="0080008A" w:rsidP="0080008A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3E2B8E9C" w14:textId="77777777" w:rsidTr="0080008A">
        <w:trPr>
          <w:trHeight w:val="322"/>
        </w:trPr>
        <w:tc>
          <w:tcPr>
            <w:tcW w:w="9918" w:type="dxa"/>
            <w:gridSpan w:val="3"/>
            <w:shd w:val="clear" w:color="auto" w:fill="9BBB59" w:themeFill="accent3"/>
          </w:tcPr>
          <w:p w14:paraId="5E675B6F" w14:textId="77777777" w:rsidR="00AE48BA" w:rsidRPr="0080008A" w:rsidRDefault="00B959E4" w:rsidP="00B959E4">
            <w:pPr>
              <w:pStyle w:val="Default"/>
              <w:rPr>
                <w:b/>
                <w:color w:val="auto"/>
              </w:rPr>
            </w:pPr>
            <w:r w:rsidRPr="0080008A">
              <w:rPr>
                <w:b/>
                <w:color w:val="auto"/>
              </w:rPr>
              <w:t xml:space="preserve">Is this site being considered as part of a group </w:t>
            </w:r>
            <w:proofErr w:type="gramStart"/>
            <w:r w:rsidRPr="0080008A">
              <w:rPr>
                <w:b/>
                <w:color w:val="auto"/>
              </w:rPr>
              <w:t>of  wider</w:t>
            </w:r>
            <w:proofErr w:type="gramEnd"/>
            <w:r w:rsidRPr="0080008A">
              <w:rPr>
                <w:b/>
                <w:color w:val="auto"/>
              </w:rPr>
              <w:t xml:space="preserve"> conservation activities </w:t>
            </w:r>
          </w:p>
        </w:tc>
      </w:tr>
      <w:tr w:rsidR="0080008A" w:rsidRPr="0080008A" w14:paraId="020584F7" w14:textId="77777777" w:rsidTr="0080008A">
        <w:trPr>
          <w:trHeight w:val="333"/>
        </w:trPr>
        <w:tc>
          <w:tcPr>
            <w:tcW w:w="9918" w:type="dxa"/>
            <w:gridSpan w:val="3"/>
          </w:tcPr>
          <w:p w14:paraId="280AD5FC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7EEA5693" w14:textId="424F845B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Describe current or potential links with other conservation projects. This does not have to be limited to projects focused</w:t>
            </w:r>
            <w:r w:rsidR="00162D68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>solely upon WCC. Education and outreach should also be considered.</w:t>
            </w:r>
          </w:p>
          <w:p w14:paraId="1C1F7B48" w14:textId="77777777" w:rsidR="0080008A" w:rsidRPr="0080008A" w:rsidRDefault="0080008A" w:rsidP="0080008A">
            <w:pPr>
              <w:pStyle w:val="Default"/>
              <w:rPr>
                <w:color w:val="auto"/>
              </w:rPr>
            </w:pPr>
          </w:p>
          <w:p w14:paraId="078E2B58" w14:textId="4703F5E2" w:rsidR="009D570D" w:rsidRPr="00162D68" w:rsidRDefault="0080008A" w:rsidP="0080008A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162D68">
              <w:rPr>
                <w:b/>
                <w:bCs/>
                <w:i/>
                <w:iCs/>
                <w:color w:val="auto"/>
              </w:rPr>
              <w:t>This is covered in section 2.2 Conservation planning &amp; stakeholder engagement, 2.4 Producing a conservation strategy/action plan and 4.1 Desktop study assessment.</w:t>
            </w:r>
          </w:p>
          <w:p w14:paraId="55142CBF" w14:textId="7EC931F3" w:rsidR="0080008A" w:rsidRPr="0080008A" w:rsidRDefault="0080008A" w:rsidP="0080008A">
            <w:pPr>
              <w:pStyle w:val="Default"/>
              <w:rPr>
                <w:color w:val="auto"/>
              </w:rPr>
            </w:pPr>
          </w:p>
        </w:tc>
      </w:tr>
      <w:tr w:rsidR="0080008A" w:rsidRPr="0080008A" w14:paraId="01B24675" w14:textId="77777777" w:rsidTr="0080008A">
        <w:trPr>
          <w:trHeight w:val="319"/>
        </w:trPr>
        <w:tc>
          <w:tcPr>
            <w:tcW w:w="9918" w:type="dxa"/>
            <w:gridSpan w:val="3"/>
            <w:shd w:val="clear" w:color="auto" w:fill="FFFF00"/>
          </w:tcPr>
          <w:p w14:paraId="28CAA896" w14:textId="77777777" w:rsidR="004107E9" w:rsidRPr="0080008A" w:rsidRDefault="004107E9" w:rsidP="00015284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 w:rsidRPr="0080008A">
              <w:rPr>
                <w:b/>
                <w:color w:val="auto"/>
                <w:sz w:val="36"/>
                <w:szCs w:val="36"/>
              </w:rPr>
              <w:t>D: Actions</w:t>
            </w:r>
          </w:p>
        </w:tc>
      </w:tr>
      <w:tr w:rsidR="0080008A" w:rsidRPr="0080008A" w14:paraId="20967CD7" w14:textId="77777777" w:rsidTr="0080008A">
        <w:trPr>
          <w:trHeight w:val="319"/>
        </w:trPr>
        <w:tc>
          <w:tcPr>
            <w:tcW w:w="9918" w:type="dxa"/>
            <w:gridSpan w:val="3"/>
            <w:shd w:val="clear" w:color="auto" w:fill="FFFF00"/>
          </w:tcPr>
          <w:p w14:paraId="2F45B751" w14:textId="77777777" w:rsidR="00150357" w:rsidRPr="0080008A" w:rsidRDefault="00035C66" w:rsidP="00015284">
            <w:pPr>
              <w:pStyle w:val="Default"/>
              <w:rPr>
                <w:color w:val="auto"/>
              </w:rPr>
            </w:pPr>
            <w:r w:rsidRPr="0080008A">
              <w:rPr>
                <w:b/>
                <w:color w:val="auto"/>
              </w:rPr>
              <w:t>Identified</w:t>
            </w:r>
            <w:r w:rsidR="00C4748D" w:rsidRPr="0080008A">
              <w:rPr>
                <w:b/>
                <w:color w:val="auto"/>
              </w:rPr>
              <w:t xml:space="preserve"> key</w:t>
            </w:r>
            <w:r w:rsidRPr="0080008A">
              <w:rPr>
                <w:b/>
                <w:color w:val="auto"/>
              </w:rPr>
              <w:t xml:space="preserve"> ac</w:t>
            </w:r>
            <w:r w:rsidR="00150357" w:rsidRPr="0080008A">
              <w:rPr>
                <w:b/>
                <w:color w:val="auto"/>
              </w:rPr>
              <w:t>tions</w:t>
            </w:r>
          </w:p>
        </w:tc>
      </w:tr>
      <w:tr w:rsidR="0080008A" w:rsidRPr="0080008A" w14:paraId="4190C84F" w14:textId="77777777" w:rsidTr="0080008A">
        <w:trPr>
          <w:trHeight w:val="995"/>
        </w:trPr>
        <w:tc>
          <w:tcPr>
            <w:tcW w:w="9918" w:type="dxa"/>
            <w:gridSpan w:val="3"/>
          </w:tcPr>
          <w:p w14:paraId="4840097D" w14:textId="77777777" w:rsidR="009D570D" w:rsidRPr="0080008A" w:rsidRDefault="009D570D" w:rsidP="00015284">
            <w:pPr>
              <w:pStyle w:val="Default"/>
              <w:rPr>
                <w:color w:val="auto"/>
              </w:rPr>
            </w:pPr>
          </w:p>
          <w:p w14:paraId="38178CF2" w14:textId="25A85BBE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List here any actions identified in the information gathering above and inform internal and external stakeholders. Likely</w:t>
            </w:r>
            <w:r w:rsidR="00162D68">
              <w:rPr>
                <w:color w:val="auto"/>
              </w:rPr>
              <w:t xml:space="preserve"> </w:t>
            </w:r>
            <w:r w:rsidRPr="0080008A">
              <w:rPr>
                <w:color w:val="auto"/>
              </w:rPr>
              <w:t>actions are detailed below:</w:t>
            </w:r>
          </w:p>
          <w:p w14:paraId="28FC7365" w14:textId="77777777" w:rsidR="0080008A" w:rsidRPr="0080008A" w:rsidRDefault="0080008A" w:rsidP="0080008A">
            <w:pPr>
              <w:pStyle w:val="Default"/>
              <w:rPr>
                <w:color w:val="auto"/>
              </w:rPr>
            </w:pPr>
          </w:p>
          <w:p w14:paraId="7A86F421" w14:textId="77777777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• Potential ark site – Begin full assessment of suitability</w:t>
            </w:r>
          </w:p>
          <w:p w14:paraId="26509C7D" w14:textId="77777777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• Use as donor stock due to imminent threat of loss of population</w:t>
            </w:r>
          </w:p>
          <w:p w14:paraId="7D901CAE" w14:textId="77777777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• Updated survey required to determine health/extent/presence</w:t>
            </w:r>
          </w:p>
          <w:p w14:paraId="1CA94509" w14:textId="46D44EAE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• Partners and catchment coordinators informed of potential opportunities for crayfish project</w:t>
            </w:r>
          </w:p>
          <w:p w14:paraId="24CA2DA2" w14:textId="77777777" w:rsidR="0080008A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• Landowner engagement to increase awareness and alter land management if required</w:t>
            </w:r>
          </w:p>
          <w:p w14:paraId="741994E2" w14:textId="77777777" w:rsidR="004B2D90" w:rsidRPr="0080008A" w:rsidRDefault="0080008A" w:rsidP="0080008A">
            <w:pPr>
              <w:pStyle w:val="Default"/>
              <w:rPr>
                <w:color w:val="auto"/>
              </w:rPr>
            </w:pPr>
            <w:r w:rsidRPr="0080008A">
              <w:rPr>
                <w:color w:val="auto"/>
              </w:rPr>
              <w:t>• Increased signage and information campaign required</w:t>
            </w:r>
          </w:p>
          <w:p w14:paraId="6AB875EC" w14:textId="77E3AABA" w:rsidR="0080008A" w:rsidRPr="0080008A" w:rsidRDefault="0080008A" w:rsidP="0080008A">
            <w:pPr>
              <w:pStyle w:val="Default"/>
              <w:rPr>
                <w:b/>
                <w:color w:val="auto"/>
              </w:rPr>
            </w:pPr>
          </w:p>
        </w:tc>
      </w:tr>
    </w:tbl>
    <w:p w14:paraId="5C82DB9B" w14:textId="77777777" w:rsidR="008D6BEF" w:rsidRPr="0080008A" w:rsidRDefault="008D6BEF" w:rsidP="0080008A">
      <w:pPr>
        <w:rPr>
          <w:szCs w:val="24"/>
        </w:rPr>
      </w:pPr>
    </w:p>
    <w:sectPr w:rsidR="008D6BEF" w:rsidRPr="0080008A" w:rsidSect="0080008A">
      <w:pgSz w:w="11908" w:h="17340"/>
      <w:pgMar w:top="1162" w:right="1068" w:bottom="654" w:left="105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8332" w14:textId="77777777" w:rsidR="008A6827" w:rsidRDefault="008A6827" w:rsidP="001334EA">
      <w:pPr>
        <w:spacing w:after="0" w:line="240" w:lineRule="auto"/>
      </w:pPr>
      <w:r>
        <w:separator/>
      </w:r>
    </w:p>
  </w:endnote>
  <w:endnote w:type="continuationSeparator" w:id="0">
    <w:p w14:paraId="4BB057F8" w14:textId="77777777" w:rsidR="008A6827" w:rsidRDefault="008A6827" w:rsidP="0013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BAD4" w14:textId="77777777" w:rsidR="008A6827" w:rsidRDefault="008A6827" w:rsidP="001334EA">
      <w:pPr>
        <w:spacing w:after="0" w:line="240" w:lineRule="auto"/>
      </w:pPr>
      <w:r>
        <w:separator/>
      </w:r>
    </w:p>
  </w:footnote>
  <w:footnote w:type="continuationSeparator" w:id="0">
    <w:p w14:paraId="37F36929" w14:textId="77777777" w:rsidR="008A6827" w:rsidRDefault="008A6827" w:rsidP="0013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07F57"/>
    <w:multiLevelType w:val="hybridMultilevel"/>
    <w:tmpl w:val="147E9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7B0"/>
    <w:multiLevelType w:val="hybridMultilevel"/>
    <w:tmpl w:val="7F9E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77108"/>
    <w:multiLevelType w:val="hybridMultilevel"/>
    <w:tmpl w:val="3AF4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7107F"/>
    <w:multiLevelType w:val="hybridMultilevel"/>
    <w:tmpl w:val="278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0B"/>
    <w:rsid w:val="00007587"/>
    <w:rsid w:val="00015284"/>
    <w:rsid w:val="00017165"/>
    <w:rsid w:val="00035C66"/>
    <w:rsid w:val="00040197"/>
    <w:rsid w:val="000402CB"/>
    <w:rsid w:val="00075B85"/>
    <w:rsid w:val="00092215"/>
    <w:rsid w:val="000C5DB1"/>
    <w:rsid w:val="000E4F89"/>
    <w:rsid w:val="000F5B8A"/>
    <w:rsid w:val="00130106"/>
    <w:rsid w:val="001334EA"/>
    <w:rsid w:val="00150357"/>
    <w:rsid w:val="00152FB2"/>
    <w:rsid w:val="001547E1"/>
    <w:rsid w:val="00162D68"/>
    <w:rsid w:val="00190423"/>
    <w:rsid w:val="00195845"/>
    <w:rsid w:val="001C5731"/>
    <w:rsid w:val="001C7819"/>
    <w:rsid w:val="001D40E6"/>
    <w:rsid w:val="001E190C"/>
    <w:rsid w:val="001F540F"/>
    <w:rsid w:val="00252953"/>
    <w:rsid w:val="00294640"/>
    <w:rsid w:val="002A3719"/>
    <w:rsid w:val="00334AE8"/>
    <w:rsid w:val="00334E5B"/>
    <w:rsid w:val="00344177"/>
    <w:rsid w:val="003579B9"/>
    <w:rsid w:val="00373336"/>
    <w:rsid w:val="003867D8"/>
    <w:rsid w:val="00391793"/>
    <w:rsid w:val="00393FCE"/>
    <w:rsid w:val="003962C2"/>
    <w:rsid w:val="003B37C9"/>
    <w:rsid w:val="003D0F3C"/>
    <w:rsid w:val="004107E9"/>
    <w:rsid w:val="004117FF"/>
    <w:rsid w:val="004458F3"/>
    <w:rsid w:val="00470E4C"/>
    <w:rsid w:val="00475DB2"/>
    <w:rsid w:val="00480A31"/>
    <w:rsid w:val="004A3D45"/>
    <w:rsid w:val="004A780F"/>
    <w:rsid w:val="004B2D90"/>
    <w:rsid w:val="004E1BBB"/>
    <w:rsid w:val="005676C6"/>
    <w:rsid w:val="005A5D8E"/>
    <w:rsid w:val="005B707F"/>
    <w:rsid w:val="005C3EC7"/>
    <w:rsid w:val="005D20D6"/>
    <w:rsid w:val="005F41DB"/>
    <w:rsid w:val="005F4C2C"/>
    <w:rsid w:val="006433D4"/>
    <w:rsid w:val="006655DD"/>
    <w:rsid w:val="006A2A6E"/>
    <w:rsid w:val="006A44FB"/>
    <w:rsid w:val="006E6E60"/>
    <w:rsid w:val="007063ED"/>
    <w:rsid w:val="00723791"/>
    <w:rsid w:val="00756640"/>
    <w:rsid w:val="00764177"/>
    <w:rsid w:val="007836D3"/>
    <w:rsid w:val="00785109"/>
    <w:rsid w:val="007C5867"/>
    <w:rsid w:val="007C74A2"/>
    <w:rsid w:val="007D7054"/>
    <w:rsid w:val="0080008A"/>
    <w:rsid w:val="008310BC"/>
    <w:rsid w:val="00843F1F"/>
    <w:rsid w:val="008A5481"/>
    <w:rsid w:val="008A6827"/>
    <w:rsid w:val="008C1AF2"/>
    <w:rsid w:val="008D6BEF"/>
    <w:rsid w:val="008E2B2A"/>
    <w:rsid w:val="008F013B"/>
    <w:rsid w:val="00930A9E"/>
    <w:rsid w:val="00930BEC"/>
    <w:rsid w:val="00930E91"/>
    <w:rsid w:val="00931450"/>
    <w:rsid w:val="00932C2C"/>
    <w:rsid w:val="00965A14"/>
    <w:rsid w:val="0096795B"/>
    <w:rsid w:val="00967F1B"/>
    <w:rsid w:val="009800E4"/>
    <w:rsid w:val="00981D3C"/>
    <w:rsid w:val="009A2AB2"/>
    <w:rsid w:val="009D2ADD"/>
    <w:rsid w:val="009D570D"/>
    <w:rsid w:val="00A00A89"/>
    <w:rsid w:val="00A05C45"/>
    <w:rsid w:val="00A12B77"/>
    <w:rsid w:val="00A63E68"/>
    <w:rsid w:val="00A75E4C"/>
    <w:rsid w:val="00AA2173"/>
    <w:rsid w:val="00AC230B"/>
    <w:rsid w:val="00AD443C"/>
    <w:rsid w:val="00AE48BA"/>
    <w:rsid w:val="00AE5832"/>
    <w:rsid w:val="00B92305"/>
    <w:rsid w:val="00B959E4"/>
    <w:rsid w:val="00BB0095"/>
    <w:rsid w:val="00BC5207"/>
    <w:rsid w:val="00BF5B0D"/>
    <w:rsid w:val="00C048BD"/>
    <w:rsid w:val="00C23830"/>
    <w:rsid w:val="00C4748D"/>
    <w:rsid w:val="00CA1BD6"/>
    <w:rsid w:val="00CB6A60"/>
    <w:rsid w:val="00CD2466"/>
    <w:rsid w:val="00D328E7"/>
    <w:rsid w:val="00D62DD5"/>
    <w:rsid w:val="00D75768"/>
    <w:rsid w:val="00D84CAD"/>
    <w:rsid w:val="00DB33FD"/>
    <w:rsid w:val="00DC7DAA"/>
    <w:rsid w:val="00DD04A4"/>
    <w:rsid w:val="00DE287A"/>
    <w:rsid w:val="00E115C0"/>
    <w:rsid w:val="00E75CFB"/>
    <w:rsid w:val="00E8303C"/>
    <w:rsid w:val="00E906AD"/>
    <w:rsid w:val="00EB4580"/>
    <w:rsid w:val="00EC203B"/>
    <w:rsid w:val="00EC27CF"/>
    <w:rsid w:val="00EF546C"/>
    <w:rsid w:val="00F24352"/>
    <w:rsid w:val="00FD410B"/>
    <w:rsid w:val="00FF4355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F788C"/>
  <w15:docId w15:val="{6ACE5C48-B4BA-46AE-8D45-287E19A2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0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1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33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imarshall03</dc:creator>
  <cp:lastModifiedBy>Marshall, Ian</cp:lastModifiedBy>
  <cp:revision>2</cp:revision>
  <dcterms:created xsi:type="dcterms:W3CDTF">2022-03-02T14:22:00Z</dcterms:created>
  <dcterms:modified xsi:type="dcterms:W3CDTF">2022-03-02T14:22:00Z</dcterms:modified>
</cp:coreProperties>
</file>